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28"/>
          <w:szCs w:val="28"/>
          <w:lang w:eastAsia="zh-CN"/>
        </w:rPr>
      </w:pPr>
      <w:r>
        <w:rPr>
          <w:rFonts w:hint="eastAsia" w:ascii="仿宋_GB2312" w:hAnsi="宋体" w:eastAsia="仿宋_GB2312"/>
          <w:sz w:val="28"/>
          <w:szCs w:val="28"/>
        </w:rPr>
        <w:t>附件</w:t>
      </w:r>
      <w:r>
        <w:rPr>
          <w:rFonts w:hint="eastAsia" w:ascii="仿宋_GB2312" w:hAnsi="宋体" w:eastAsia="仿宋_GB2312"/>
          <w:sz w:val="28"/>
          <w:szCs w:val="28"/>
          <w:lang w:val="en-US" w:eastAsia="zh-CN"/>
        </w:rPr>
        <w:t>5</w:t>
      </w:r>
    </w:p>
    <w:p>
      <w:pPr>
        <w:jc w:val="center"/>
        <w:rPr>
          <w:b/>
          <w:sz w:val="44"/>
          <w:szCs w:val="44"/>
        </w:rPr>
      </w:pPr>
      <w:r>
        <w:rPr>
          <w:rFonts w:hint="eastAsia"/>
          <w:b/>
          <w:sz w:val="44"/>
          <w:szCs w:val="44"/>
        </w:rPr>
        <w:t>事业单位公开招聘违纪违规行为处理规定</w:t>
      </w:r>
    </w:p>
    <w:p>
      <w:pPr>
        <w:widowControl/>
        <w:adjustRightInd w:val="0"/>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中华</w:t>
      </w:r>
      <w:bookmarkStart w:id="0" w:name="_GoBack"/>
      <w:bookmarkEnd w:id="0"/>
      <w:r>
        <w:rPr>
          <w:rFonts w:hint="eastAsia" w:ascii="仿宋_GB2312" w:hAnsi="宋体" w:eastAsia="仿宋_GB2312" w:cs="宋体"/>
          <w:color w:val="000000"/>
          <w:kern w:val="0"/>
          <w:sz w:val="32"/>
          <w:szCs w:val="32"/>
        </w:rPr>
        <w:t>人民共和国人力资源和社会保障部令</w:t>
      </w:r>
    </w:p>
    <w:p>
      <w:pPr>
        <w:widowControl/>
        <w:adjustRightInd w:val="0"/>
        <w:snapToGrid w:val="0"/>
        <w:spacing w:line="560" w:lineRule="exact"/>
        <w:jc w:val="center"/>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第35号</w:t>
      </w:r>
    </w:p>
    <w:p>
      <w:pPr>
        <w:adjustRightInd w:val="0"/>
        <w:snapToGrid w:val="0"/>
        <w:spacing w:line="560" w:lineRule="exact"/>
        <w:jc w:val="center"/>
        <w:rPr>
          <w:rFonts w:hint="eastAsia" w:ascii="仿宋" w:hAnsi="仿宋" w:eastAsia="仿宋"/>
          <w:b/>
          <w:sz w:val="32"/>
          <w:szCs w:val="32"/>
        </w:rPr>
      </w:pPr>
      <w:r>
        <w:rPr>
          <w:rFonts w:hint="eastAsia" w:ascii="仿宋" w:hAnsi="仿宋" w:eastAsia="仿宋"/>
          <w:b/>
          <w:sz w:val="32"/>
          <w:szCs w:val="32"/>
        </w:rPr>
        <w:t>第一章 总 则</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第一条 为加强事业单位公开招聘工作管理，规范公开招聘违纪违规行为的认定与处理，保证招聘工作公开、公平、公正，根据《事业单位人事管理条例》等有关规定，制定本规定。</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第二条 事业单位公开招聘中违纪违规行为的认定与处理，适用本规定。</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第三条 认定与处理公开招聘违纪违规行为，应当事实清楚、证据确凿、程序规范、适用规定准确。</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第四条 中央事业单位人事综合管理部门负责全国事业单位公开招聘工作的综合管理与监督。</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各级事业单位人事综合管理部门、事业单位主管部门、招聘单位按照事业单位公开招聘管理权限，依据本规定对公开招聘违纪违规行为进行认定与处理。</w:t>
      </w:r>
    </w:p>
    <w:p>
      <w:pPr>
        <w:adjustRightInd w:val="0"/>
        <w:snapToGrid w:val="0"/>
        <w:spacing w:line="560" w:lineRule="exact"/>
        <w:jc w:val="center"/>
        <w:rPr>
          <w:rFonts w:hint="eastAsia" w:ascii="仿宋" w:hAnsi="仿宋" w:eastAsia="仿宋"/>
          <w:b/>
          <w:sz w:val="32"/>
          <w:szCs w:val="32"/>
        </w:rPr>
      </w:pPr>
      <w:r>
        <w:rPr>
          <w:rFonts w:hint="eastAsia" w:ascii="仿宋" w:hAnsi="仿宋" w:eastAsia="仿宋"/>
          <w:b/>
          <w:sz w:val="32"/>
          <w:szCs w:val="32"/>
        </w:rPr>
        <w:t>第二章 应聘人员违纪违规行为处理</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第五条 应聘人员在报名过程中有下列违纪违规行为之一的，取消其本次应聘资格：</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（一）伪造、涂改证件、证明等报名材料，或者以其他不正当手段获取应聘资格的；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（二）提供的涉及报考资格的申请材料或者信息不实，且影响报名审核结果的；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（三）其他应当取消其本次应聘资格的违纪违规行为。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第六条 应聘人员在考试过程中有下列违纪违规行为之一的，给予其当次该科目考试成绩无效的处理：</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（一）携带规定以外的物品进入考场且未按要求放在指定位置，经提醒仍不改正的；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（二）未在规定座位参加考试，或者未经考试工作人员允许擅自离开座位或者考场，经提醒仍不改正的；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（三）经提醒仍不按规定填写、填涂本人信息的；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（四）在试卷、答题纸、答题卡规定以外位置标注本人信息或者其他特殊标记的；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（五）在考试开始信号发出前答题，或者在考试结束信号发出后继续答题，经提醒仍不停止的；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（六）将试卷、答题卡、答题纸带出考场，或者故意损坏试卷、答题卡、答题纸及考试相关设施设备的；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（七）其他应当给予当次该科目考试成绩无效处理的违纪违规行为。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（一）抄袭、协助他人抄袭的；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（二）互相传递试卷、答题纸、答题卡、草稿纸等的；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（三）持伪造证件参加考试的；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（四）使用禁止带入考场的通讯工具、规定以外的电子用品的；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（五）本人离开考场后，在本场考试结束前，传播考试试题及答案的；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（六）其他应当给予当次全部科目考试成绩无效处理并记入事业单位公开招聘应聘人员诚信档案库的严重违纪违规行为。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第八条 应聘人员有下列特别严重违纪违规行为之一的，给予其当次全部科目考试成绩无效的处理，并将其违纪违规行为记入事业单位公开招聘应聘人员诚信档案库，长期记录：</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（一）串通作弊或者参与有组织作弊的；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（二）代替他人或者让他人代替自己参加考试的；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（三）其他应当给予当次全部科目考试成绩无效处理并记入事业单位公开招聘应聘人员诚信档案库的特别严重的违纪违规行为。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（一）故意扰乱考点、考场以及其他招聘工作场所秩序的；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（二）拒绝、妨碍工作人员履行管理职责的；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（三）威胁、侮辱、诽谤、诬陷工作人员或者其他应聘人员的；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（四）其他扰乱招聘工作秩序的违纪违规行为。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应聘人员之间同一科目作答内容雷同，并有其他相关证据证明其违纪违规行为成立的，视具体情形按照本规定第七条、第八条处理。</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adjustRightInd w:val="0"/>
        <w:snapToGrid w:val="0"/>
        <w:spacing w:line="560" w:lineRule="exact"/>
        <w:jc w:val="center"/>
        <w:rPr>
          <w:rFonts w:hint="eastAsia" w:ascii="仿宋" w:hAnsi="仿宋" w:eastAsia="仿宋"/>
          <w:b/>
          <w:sz w:val="32"/>
          <w:szCs w:val="32"/>
        </w:rPr>
      </w:pPr>
      <w:r>
        <w:rPr>
          <w:rFonts w:hint="eastAsia" w:ascii="仿宋" w:hAnsi="仿宋" w:eastAsia="仿宋"/>
          <w:b/>
          <w:sz w:val="32"/>
          <w:szCs w:val="32"/>
        </w:rPr>
        <w:t>第三章 招聘单位和招聘工作人员违纪违规行为处理</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（一）未按规定权限和程序核准（备案）招聘方案，擅自组织公开招聘的；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（二）设置与岗位无关的指向性或者限制性条件的；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（三）未按规定发布招聘公告的；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（四）招聘公告发布后，擅自变更招聘程序、岗位条件、招聘人数、考试考察方式等的；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（五）未按招聘条件进行资格审查的；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（六）未按规定组织体检的；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（七）未按规定公示拟聘用人员名单的；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（八）其他应当责令改正的违纪违规行为。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第十六条 招聘工作人员有下列行为之一的，由相关部门给予处分，并停止其继续参加当年及下一年度招聘工作：</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（一）擅自提前考试开始时间、推迟考试结束时间及缩短考试时间的；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（二）擅自为应聘人员调换考场或者座位的；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（三）未准确记录考场情况及违纪违规行为，并造成一定影响的；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（四）未执行回避制度的；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（五）其他一般违纪违规行为。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第十七条 招聘工作人员有下列行为之一的，由相关部门给予处分，并将其调离招聘工作岗位，不得再从事招聘工作；构成犯罪的，依法追究刑事责任：</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（一）指使、纵容他人作弊，或者在考试、考察、体检过程中参与作弊的；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（二）在保密期限内，泄露考试试题、面试评分要素等应当保密的信息的；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（三）擅自更改考试评分标准或者不按评分标准进行评卷的；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（四）监管不严，导致考场出现大面积作弊现象的；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（五）玩忽职守，造成不良影响的；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（六）其他严重违纪违规行为。</w:t>
      </w:r>
    </w:p>
    <w:p>
      <w:pPr>
        <w:adjustRightInd w:val="0"/>
        <w:snapToGrid w:val="0"/>
        <w:spacing w:line="560" w:lineRule="exact"/>
        <w:jc w:val="center"/>
        <w:rPr>
          <w:rFonts w:hint="eastAsia" w:ascii="仿宋" w:hAnsi="仿宋" w:eastAsia="仿宋"/>
          <w:b/>
          <w:sz w:val="32"/>
          <w:szCs w:val="32"/>
        </w:rPr>
      </w:pPr>
      <w:r>
        <w:rPr>
          <w:rFonts w:hint="eastAsia" w:ascii="仿宋" w:hAnsi="仿宋" w:eastAsia="仿宋"/>
          <w:b/>
          <w:sz w:val="32"/>
          <w:szCs w:val="32"/>
        </w:rPr>
        <w:t>第四章 处理程序</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对应聘人员违纪违规行为作出处理决定的，应当制作公开招聘违纪违规行为处理决定书，依法送达被处理的应聘人员。</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第二十条 应聘人员对处理决定不服的，可以依法申请行政复议或者提起行政诉讼。</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第二十一条 参与公开招聘的工作人员对因违纪违规行为受到处分不服的，可以依法申请复核或者提出申诉。</w:t>
      </w:r>
    </w:p>
    <w:p>
      <w:pPr>
        <w:adjustRightInd w:val="0"/>
        <w:snapToGrid w:val="0"/>
        <w:spacing w:line="560" w:lineRule="exact"/>
        <w:jc w:val="center"/>
        <w:rPr>
          <w:rFonts w:hint="eastAsia" w:ascii="仿宋" w:hAnsi="仿宋" w:eastAsia="仿宋"/>
          <w:b/>
          <w:sz w:val="32"/>
          <w:szCs w:val="32"/>
        </w:rPr>
      </w:pPr>
      <w:r>
        <w:rPr>
          <w:rFonts w:hint="eastAsia" w:ascii="仿宋" w:hAnsi="仿宋" w:eastAsia="仿宋"/>
          <w:b/>
          <w:sz w:val="32"/>
          <w:szCs w:val="32"/>
        </w:rPr>
        <w:t>第五章 附 则</w:t>
      </w:r>
    </w:p>
    <w:p>
      <w:pPr>
        <w:adjustRightInd w:val="0"/>
        <w:snapToGrid w:val="0"/>
        <w:spacing w:line="560" w:lineRule="exact"/>
        <w:jc w:val="left"/>
        <w:rPr>
          <w:rFonts w:ascii="仿宋" w:hAnsi="仿宋" w:eastAsia="仿宋"/>
          <w:sz w:val="32"/>
          <w:szCs w:val="32"/>
        </w:rPr>
      </w:pPr>
      <w:r>
        <w:rPr>
          <w:rFonts w:hint="eastAsia" w:ascii="仿宋" w:hAnsi="仿宋" w:eastAsia="仿宋"/>
          <w:sz w:val="32"/>
          <w:szCs w:val="32"/>
        </w:rPr>
        <w:t>第二十二条 本规定自2018年1月1日起施行。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5E6B"/>
    <w:rsid w:val="000A223B"/>
    <w:rsid w:val="00201DCC"/>
    <w:rsid w:val="00234157"/>
    <w:rsid w:val="00556431"/>
    <w:rsid w:val="005A2EF1"/>
    <w:rsid w:val="00857E9E"/>
    <w:rsid w:val="008C6871"/>
    <w:rsid w:val="00A15E6B"/>
    <w:rsid w:val="00B433B5"/>
    <w:rsid w:val="26B1063D"/>
    <w:rsid w:val="6DD83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477</Words>
  <Characters>2720</Characters>
  <Lines>22</Lines>
  <Paragraphs>6</Paragraphs>
  <TotalTime>8</TotalTime>
  <ScaleCrop>false</ScaleCrop>
  <LinksUpToDate>false</LinksUpToDate>
  <CharactersWithSpaces>3191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2019-06-15T04:58:00Z</dcterms:created>
  <dc:creator>孙杰</dc:creator>
  <cp:lastModifiedBy>午未</cp:lastModifiedBy>
  <dcterms:modified xsi:type="dcterms:W3CDTF">2021-09-18T08:30:42Z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